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(logo) Center for Community Engagemen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head) Engaging the community in learn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Parkland Center for Community Engagement supports the College’s commitment to “engage the community in learning.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mmunity serv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rvice learn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olunteeris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ctive citizenship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llabor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CTION PLA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ordinat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mot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har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uppor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tegra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ovid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cademic program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lternative spring break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est practic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nrichment of college lif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-newsletter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rtin Luther King Jr. Days of Servi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esentations (to the College’s student clubs and organization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pecial even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uccess stori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olunteer fair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volunteer opportunitie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ebsite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orkshop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“I liked connecting with the kids and feeling like I’m making a difference”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- Homework Club Tuto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“The Homework Club has given my daughter the extra help I am not able to give her at home.”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- Homework Club Pare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